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3560"/>
        <w:gridCol w:w="30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954717056" name="Picture">
</wp:docPr>
                  <a:graphic>
                    <a:graphicData uri="http://schemas.openxmlformats.org/drawingml/2006/picture">
                      <pic:pic>
                        <pic:nvPicPr>
                          <pic:cNvPr id="954717056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AGOSTO/2024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BALANÇO ORÇAMENTÁRIO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26.600.000,00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18.665.027,94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Saldos de Exercícios Anteriores ( Utilizado para Créditos Adicionais 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3.783.943,39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38.646.200,46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17.302.278,18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13.786.598,75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13.442.034,18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4.878.429,19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POR FUNÇÃO/SUBFUNÇÃO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17.302.278,18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13.786.598,75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CORRENTE LÍQUIDA - RCL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23.570.072,31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de Endividamento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23.570.072,31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da Despesa com Pessoal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23.570.072,31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E DESPESAS DO REGIME PRÓPRIO DE PREVIDÊNCIA DOS SERVIDORES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Capitalização (PLANO PREVIDENCIÁRIO)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1.706.655,70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1.448.613,75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1.448.613,75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1.448.613,75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258.041,95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08:08:42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104748531" name="Picture">
</wp:docPr>
                  <a:graphic>
                    <a:graphicData uri="http://schemas.openxmlformats.org/drawingml/2006/picture">
                      <pic:pic>
                        <pic:nvPicPr>
                          <pic:cNvPr id="1104748531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AGOSTO/2024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PRIMÁRIO E NOMINAL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Meta Fixada no Anexo de Metas Fiscais da LDO</w:t>
                    <w:br/>
                    <w:t xml:space="preserve">(a)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Apurado</w:t>
                    <w:br/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em Relação à Meta</w:t>
                    <w:br/>
                    <w:t xml:space="preserve">(b/a)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Primário (SEM RPPS) - Acima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1.801.451,56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Nominal (SEM RPPS) - Abaixo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2.413.893,89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RESTOS A PAGAR A PAGAR POR PODER E MINISTÉRIO PÚBLICO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Inscrição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Cancelamento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Pagamento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Pagar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91.072,89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91.062,88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86.796,21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86.786,20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4.276,68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4.276,68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Não-Processados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2.648.902,26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25.838,07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2.054.994,54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568.069,65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2.648.902,26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25.838,07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2.054.994,54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568.069,65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2.739.975,15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25.848,08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2.146.057,42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568.069,65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MANUTENÇÃO E DESENVOLVIMENTO DO ENSINO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Limites Constitucionais Anuais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25% das Receitas de Impostos na Manutenção e Desenvolvimento do Ensino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3.657.430,89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25,32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70% do FUNDEB na Remuneração dos Profissionais da Educação Básica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504.708,58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86,76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Percentual de 50% da Complementação da União ao FUNDEB (VAAT) na Educação Infantil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de 15% da Complementação da União ao FUNDEB (VAAT) em Despesas de Capital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AÇÕES E SERVIÇOS PÚBLICOS DE SAÚDE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 Constitucional Anual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com Ações e Serviços Públicos de Saúde executadas com recursos de impostos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2.693.755,29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19,50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DE CARÁTER CONTINUADO DERIVADAS DE PPP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 Corrente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Total das Despesas Consideradas para o Limite/RCL (%)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08:08:42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