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68369881" name="Picture">
</wp:docPr>
                  <a:graphic>
                    <a:graphicData uri="http://schemas.openxmlformats.org/drawingml/2006/picture">
                      <pic:pic>
                        <pic:nvPicPr>
                          <pic:cNvPr id="1268369881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33.761.009,41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6.689.135,54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37.382.011,20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30.201.997,72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28.849.976,58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28.776.931,82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4.911.032,83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30.201.997,72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28.849.976,58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26.090.776,54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26.090.776,54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26.090.776,54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4.045.826,17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2.590.941,25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2.590.941,25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2.588.757,96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1.454.884,92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11:16:35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716524389" name="Picture">
</wp:docPr>
                  <a:graphic>
                    <a:graphicData uri="http://schemas.openxmlformats.org/drawingml/2006/picture">
                      <pic:pic>
                        <pic:nvPicPr>
                          <pic:cNvPr id="716524389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-1.306.806,81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-1.826.677,20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139,78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2.764.742,75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-210.503,25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-7,61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370.161,51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3.950,92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342.936,84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23.273,75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356.608,33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3.950,92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329.383,66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23.273,75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2.986.086,72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364.130,21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2.544.697,36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77.259,15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2.985.243,43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364.020,60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2.543.963,68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77.259,15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843,29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109,61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733,68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3.356.248,23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368.081,13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2.887.634,20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100.532,90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6.615.802,32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26,39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982.343,72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4000"/>
              <w:gridCol w:w="4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DE OPERAÇÕES DE CRÉDITO E DESPESAS DE CAPITAL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não realizado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de Operação de Crédito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 de Capital Líquida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5.302.808,90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1.309.381,67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PROJEÇÃO ATUARIAL DOS REGIMES DE PREVIDÊNCIA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10º Exerício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20º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35º Exercício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Plano em Capitalização (Plano Previdenciário)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( IV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(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 ( VI ) = ( IV -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( IV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11:16:35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529739979" name="Picture">
</wp:docPr>
                  <a:graphic>
                    <a:graphicData uri="http://schemas.openxmlformats.org/drawingml/2006/picture">
                      <pic:pic>
                        <pic:nvPicPr>
                          <pic:cNvPr id="1529739979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PROJEÇÃO ATUARIAL DOS REGIMES DE PREVIDÊNCIA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10º Exerício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20º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35º Exercício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(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 ( VI ) = ( IV -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4000"/>
              <w:gridCol w:w="4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DA ALIENAÇÃO DE ATIVOS E APLICAÇÃO DOS RECURSOS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Realizar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de Capital Resultante da Alienação de Ativos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429,21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8.570,79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Aplicação dos Recursos da Alienação de Ativos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5.086.899,77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11:16:35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